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locação de doze caminhões basculantes, através da Secretaria Municipal de Obras e Serviços Públicos, Secretaria Municipal de Meio Ambiente e Desenvolvimento Urbano e Secretaria Municipal de Agricultura e Interior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039/2023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129/2023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18/07/2023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22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11783 - GLR INSTALADORA LTDA (35.747.818/0001-57)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516"/>
        <w:gridCol w:w="889"/>
        <w:gridCol w:w="968"/>
        <w:gridCol w:w="1272"/>
        <w:gridCol w:w="1086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100194 -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46.818,00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561.816,00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100195 -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41.788,88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501.466,56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100196 - Locação mensal de um caminhão basculante: peso total com carga 23 tonelada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41.988,88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503.866,56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100197 - Locação mensal de um caminhão basculante: peso total com carga 23 tonelada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Meio Ambiente e Desenvolvimento Urbano)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44.488,88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533.866,56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100198 -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Meio Ambiente e Desenvolvimento Urbano)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43.480,00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521.760,00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100200 -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Meio Ambiente e Desenvolvimento Urbano)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44.488,88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533.866,56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100201 -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Meio Ambiente e Desenvolvimento Urbano)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Pr�pria Pr�prio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41.940,00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503.280,00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3.659.922,24</w:t>
            </w:r>
          </w:p>
        </w:tc>
      </w:tr>
    </w:tbl>
    <w:p>
      <w:r>
        <w:rPr>
          <w:rFonts w:ascii="Calibri" w:hAnsi="Calibri" w:cs="Arial Narrow"/>
          <w:b/>
        </w:rPr>
        <w:t>
11782 - LDA SERVIÇOS DE ENGENHARIA (36.518.478/0001-55)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81"/>
        <w:gridCol w:w="905"/>
        <w:gridCol w:w="798"/>
        <w:gridCol w:w="1298"/>
        <w:gridCol w:w="1107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100192 -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FORD 2429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42.200,00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506.400,00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100193 -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FORD 2429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43.500,00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100199 -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Meio Ambiente e Desenvolvimento Urbano)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FORD 2429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44.999,00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539.988,00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100202 -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Agricultura e Interior)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FORD 2429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40.990,00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491.880,00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100203 - Locação mensal de um caminhão basculante: peso total com carga 23 toneladas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Agricultura e Interior)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FORD 2429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40.900,00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490.800,00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2.551.068,00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22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EMERSON MAAS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ADRIANO JOSÉ MARCINIAK</w:t>
      </w:r>
    </w:p>
    <w:p>
      <w:pPr>
        <w:pStyle w:val="1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Prefeito Municipal                                                                   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Secretário Municipal de Administração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>
      <w:bookmarkStart w:id="1" w:name="_GoBack"/>
      <w:bookmarkEnd w:id="1"/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NY0Leq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36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0</TotalTime>
  <ScaleCrop>false</ScaleCrop>
  <LinksUpToDate>false</LinksUpToDate>
  <CharactersWithSpaces>1053</CharactersWithSpaces>
  <Application>WPS Office_12.2.0.13190_F1E327BC-269C-435d-A152-05C5408002CA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2023-08-23T16:34:51Z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1046-12.2.0.13190</vt:lpwstr>
  </property>
  <property fmtid="{D5CDD505-2E9C-101B-9397-08002B2CF9AE}" pid="3" name="ICV">
    <vt:lpwstr>1826F5B4887D4A6C8757D554D0B6A43F_13</vt:lpwstr>
  </property>
</Properties>
</file>