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projeto e execução de estrutura e equipamentos para Rede de Dados do ESF Central, através do Fundo Municipal de Saúde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33520A">
        <w:rPr>
          <w:rFonts w:ascii="Calibri" w:hAnsi="Calibri" w:cs="Arial Narrow"/>
          <w:b/>
        </w:rPr>
        <w:t xml:space="preserve"> Eletrônico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051/2022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172/2022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22/07/2022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22/07/2022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9A6ABA" w:rsidRPr="0033520A" w:rsidRDefault="008033A3">
      <w:pPr>
        <w:rPr>
          <w:sz w:val="20"/>
          <w:szCs w:val="20"/>
        </w:rPr>
      </w:pPr>
      <w:r w:rsidRPr="0033520A">
        <w:rPr>
          <w:rFonts w:ascii="Calibri" w:hAnsi="Calibri" w:cs="Arial Narrow"/>
          <w:b/>
          <w:sz w:val="20"/>
          <w:szCs w:val="20"/>
        </w:rPr>
        <w:t xml:space="preserve"> 11805 - A7 TECHNOLOGY BUSINESS AND SERVICE LTD - EPP (05.221.579/0001-36)</w:t>
      </w:r>
    </w:p>
    <w:tbl>
      <w:tblPr>
        <w:tblW w:w="10490" w:type="dxa"/>
        <w:tblInd w:w="-1026" w:type="dxa"/>
        <w:tblLook w:val="04A0"/>
      </w:tblPr>
      <w:tblGrid>
        <w:gridCol w:w="580"/>
        <w:gridCol w:w="603"/>
        <w:gridCol w:w="3634"/>
        <w:gridCol w:w="1133"/>
        <w:gridCol w:w="784"/>
        <w:gridCol w:w="1200"/>
        <w:gridCol w:w="1525"/>
        <w:gridCol w:w="1031"/>
      </w:tblGrid>
      <w:tr w:rsidR="009A6ABA" w:rsidRPr="0033520A" w:rsidTr="0033520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9A6ABA" w:rsidRPr="0033520A" w:rsidTr="0033520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96534 - Rede estruturada Topológica em estrela: - Norma EIA/TIA 568-A Horizontal </w:t>
            </w: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Cabling -Sistema</w:t>
            </w:r>
            <w:proofErr w:type="gramEnd"/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Secundário com Estrutura de Rede com todo material incluído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br/>
              <w:t>O sistema secundário, também chamado de cabeamento horizontal, deve ser projetado em topologia est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rela; _ Cada tomada da área de trabalho é conectada a um ponto de manobra do painel de conexão (patch-panel) ou bloco 110 IDC, dentro do armário de telecomunicações (AT); _ A distância máxima entre a tomada na ATR e o painel de conexão é de 90m (compriment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o máximo do cabo, mesmo para o caso de fibras ópticas); _ Os cabos de conexão existentes no AT não podem exceder 7m (NBR-14565); _ Na área de trabalho, o cordão de conexão (adaptercable) é limitado em, no máximo, 3m; _ Os cabos neste sistema não podem exce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der 100m, qualquer que seja o ponto, mesmo usando fibra óptica; - Sistema de Cabeamento capaz de atender aos três serviços básicos (dados, voz e imagem) com a mesma infra-estrutura; - 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Utilizar cabos metálicos trançados - UTP 4 pares ( cat. 5E ou cat.6 ) - 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Permite a instalação de diferentes equipamentos de computação e de comunicação de dados numa mesma infra-estrutura. - No mínimo </w:t>
            </w: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pontos por área de trabalho quando descrito: • Ponto 1 – cabo UTP cat.5E/ cat.6 4 pares 100 ohms; • Ponto 2 - cabo UTP cat.5E/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cat.6 4 pares 100 ohms - Extensões e emendas no cabeamento horizontal são proibidas; - A estrutura deve ser atendida por um armário de telecomunicações (AT) instalado na mesma estrutura, no caso na sala destinada ao uso pelas Agentes Comunitárias de Saúde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; - Quanto ao armário de comunicações ou Telecommunications Closet ou Wiring Closet – (AT): _ Deve promover a terminação da distribuição do cabeamento horizontal. Os pontos de trabalho são conectados aos painéis de conexão instalados no Armário de comunica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ções; _ Para Sistemas Primários (Backbones) constituídos por cabos UTP de </w:t>
            </w: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pares, as conexões cruzadas são formadas por painéis de conexão (patch panels); _ A conexão entre o cabeamento horizontal e o backbone é realizada por meio de cabos de conexão (jum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per cables) entre o patch panel e o switch. - Os patch’s panel’s e switch’s devem ter portas suficientes sobrando em 40% além da estrutura feita; - Todos os cabos e instalações do projeto devem ser certificados pela norma EIA/TIA 568, bem como cada ponto d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e rede e voz deve receber certificação por aparelho específico de análise de cabo, devendo ser entregue relatório eletrônico de cada ponto individualmente para atestar 100% de funcionamento seguindo: Certificação categoria 5E e </w:t>
            </w: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33520A">
              <w:rPr>
                <w:rFonts w:ascii="Calibri" w:hAnsi="Calibri" w:cs="Arial Narrow"/>
                <w:sz w:val="20"/>
                <w:szCs w:val="20"/>
              </w:rPr>
              <w:t>;  _ Avaliar e qualificar o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Cabeamento quanto às especificações de norma; _ Identificação dos cabos, teste de continuidade pino a pino, inversão depares , curto-circuito, circuito aberto e 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lastRenderedPageBreak/>
              <w:t>conexões; _ Localizar e sanar falhas no Cabeamento antes da entrega das instalações; Certifica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ção de Classe D - ISO IEC DIS 11801;  _ impedância característica do cabo; _ comprimento do link; _ velocidade de propagação; _ wire map (pinagem dos conectores e tomadas); _ atraso de propagação (propagation delay); _ atraso relativo de propagação (skew d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elay); _ resistência DC; _ atenuação; _ perda de retorno(RL) e RL remoto; _ crosstalk (NEXT) e crosstalk remoto; _ relação atenuação-crosstalk (ACR) e ACR remoto. Certificação de Categoria 5E - ANSI / TIA / EIA 568-A _ impedância característica do cabo; _ 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comprimento do link; _ velocidade de propagação; _ wire map (pinagem dos conectores e tomadas); _ atraso de propagação (propagation delay); _ atraso relativo de propagação (skew delay); _ resistência dc; _ atenuação; _ crosstalk (NEXT) e crosstalk remoto; 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_ perda de </w:t>
            </w: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retorno(</w:t>
            </w:r>
            <w:proofErr w:type="gramEnd"/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RL) e RL remoto.  - Manter separação dos cabos de rede da rede elétrica, em caso de não possibilidade utilizar cabo blindado específico; - Toda conectorização do projeto deve seguir obrigatoriamente o padrão de configuração para tomadas 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e conectores M8v - T568 A. Dentre os materiais a serem utilizados no projeto como backt, patch panel, guias, porcas, etiquetas, parafusos, buchas, filtros de linha, caixas de sobrepor, tomadas, espelhos, cabos, conectores, entre outros, destacamos que é pr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eciso alguns equipamentos específicos devido a estarmos padronizando a estrutura da saúde e deverão ser fornecidos junto ao projeto: - Bracket de parede 16UX570MM (ou mais adequado); - Patch panel CAT.5e EIA/TIA 568A/B 24 PORTAS (quantos necessários); - Sw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itch Preferencialmente HP Modelo J9980A de 24 portas (quantos necessários); - Roteador Mikrotik routerboard model </w:t>
            </w: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RB951series</w:t>
            </w:r>
            <w:proofErr w:type="gramEnd"/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que 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lastRenderedPageBreak/>
              <w:t>distribuirá a organização da rede internamente e também receberá configuração de todos os tablet’s das agentes comunitárias en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tre outras necessidades;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sz w:val="20"/>
                <w:szCs w:val="20"/>
              </w:rPr>
              <w:t>N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o aplica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30.519,7161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30.519,72</w:t>
            </w:r>
          </w:p>
        </w:tc>
      </w:tr>
      <w:tr w:rsidR="009A6ABA" w:rsidRPr="0033520A" w:rsidTr="0033520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96535 - Mão</w:t>
            </w:r>
            <w:proofErr w:type="gramEnd"/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de Obra com todas as despesas incluídas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br/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Instalação com material de toda parte elétrica estruturada dentro do bracket para utilização de todos estes equipamentos e outros advindos (como por exemplo, instalação de equipamentos de internet dentro do mesmo bracket). - Mão de obra considerada: - Infr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aestrutura para passagem de cabos; - Lançamento de cabos, instalação de tomadas e conectorização; - Montagem de bracket, conectorização de patch panel e</w:t>
            </w: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33520A">
              <w:rPr>
                <w:rFonts w:ascii="Calibri" w:hAnsi="Calibri" w:cs="Arial Narrow"/>
                <w:sz w:val="20"/>
                <w:szCs w:val="20"/>
              </w:rPr>
              <w:t>jumpeamento com switch; - Certificação dos pontos; - Identificação de todos os pontos de rede nas duas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portas, ou seja, no ponto local e no Rack. – Toda conectorização deve seguir o padrão A de crimpagem. Serviços com garantia de um (01) ano após o término da obra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sz w:val="20"/>
                <w:szCs w:val="20"/>
              </w:rPr>
              <w:t>N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33520A">
              <w:rPr>
                <w:rFonts w:ascii="Calibri" w:hAnsi="Calibri" w:cs="Arial Narrow"/>
                <w:sz w:val="20"/>
                <w:szCs w:val="20"/>
              </w:rPr>
              <w:t>o aplica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33520A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13.265,2839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sz w:val="20"/>
                <w:szCs w:val="20"/>
              </w:rPr>
              <w:t xml:space="preserve"> 13.265,28</w:t>
            </w:r>
          </w:p>
        </w:tc>
      </w:tr>
      <w:tr w:rsidR="009A6ABA" w:rsidRPr="0033520A" w:rsidTr="0033520A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BA" w:rsidRPr="0033520A" w:rsidRDefault="008033A3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33520A">
              <w:rPr>
                <w:rFonts w:ascii="Calibri" w:hAnsi="Calibri" w:cs="Arial Narrow"/>
                <w:b/>
                <w:sz w:val="20"/>
                <w:szCs w:val="20"/>
              </w:rPr>
              <w:t>43.785,00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22/07/2022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33520A" w:rsidRDefault="0033520A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33520A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33520A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33520A" w:rsidRDefault="0033520A" w:rsidP="0033520A">
    <w:pPr>
      <w:pStyle w:val="Cabealho"/>
      <w:ind w:left="-142"/>
    </w:pPr>
    <w:r w:rsidRPr="0033520A">
      <w:drawing>
        <wp:inline distT="0" distB="0" distL="0" distR="0">
          <wp:extent cx="5400040" cy="1026150"/>
          <wp:effectExtent l="0" t="0" r="0" b="0"/>
          <wp:docPr id="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3520A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A6ABA"/>
    <w:rsid w:val="009C1DF5"/>
    <w:rsid w:val="00A33F38"/>
    <w:rsid w:val="00A57EC6"/>
    <w:rsid w:val="00A97DDE"/>
    <w:rsid w:val="00AA69C6"/>
    <w:rsid w:val="00C4633A"/>
    <w:rsid w:val="00C73AC6"/>
    <w:rsid w:val="00C86EAF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5285</Characters>
  <Application>Microsoft Office Word</Application>
  <DocSecurity>0</DocSecurity>
  <Lines>44</Lines>
  <Paragraphs>12</Paragraphs>
  <ScaleCrop>false</ScaleCrop>
  <Company>....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2022-07-22T18:11:00Z</dcterms:created>
  <dcterms:modified xsi:type="dcterms:W3CDTF">2022-07-22T18:11:00Z</dcterms:modified>
</cp:coreProperties>
</file>