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/>
          <w:bCs/>
          <w:u w:val="single"/>
          <w:lang w:val="pt-BR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Gêneros Alimentícios da Agricultura Familiar, para Alimentação Escolar das Unidades Escolares do Município, previsão para o Segundo semestre da Alimentação Escolar/2022, a ser pago com Recursos dos Convênios FNDE/PNAF, FNDE/PNAP, FNDE/PNAC, FNDE/PNAFAEE e FNDE/PNAEEJA conforme Resolução nº 06/2020/FNDE e Resolução nº 21/2021/FNDE, através da Secretaria Municipal de Educação, através da Secretaria Municipal de Educação Esporte e Cultura.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>Chamada Pública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004/2022 -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224/2022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25/07/2022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01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8/</w:t>
      </w:r>
      <w:r>
        <w:rPr>
          <w:rFonts w:ascii="Calibri" w:hAnsi="Calibri" w:cs="Arial Narrow"/>
          <w:b/>
        </w:rPr>
        <w:t>2022</w:t>
      </w:r>
      <w:bookmarkStart w:id="0" w:name="_GoBack"/>
      <w:bookmarkEnd w:id="0"/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10059 - ANTONIO CARLOS COLLA (167.558.550-49)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45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96793 - Laranja tipo Navelina, Navelate, Salustina ou Delta Seedless, tam. médio,sem sementes, s/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3.594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23.001,60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23.001,60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10481 - MARIA NATALIA ANDRADE MACHADO (000.399.299-30)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45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96781 - Batata inglesa, suja, sem danos,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6.530,00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96793 - Laranja tipo Navelina, Navelate, Salustina ou Delta Seedless, tam. médio,sem sementes, s/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2.598,40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96794 - Tangerina tipo Satsuma Okitsu, ou tipo Clemelunes, tam. médio, s/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12.540,00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21.668,40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11186 - Lizete Beilke  (920.867.059-72)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738"/>
        <w:gridCol w:w="905"/>
        <w:gridCol w:w="1011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96781 - Batata inglesa, suja, sem danos,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96782 -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1.432,77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93528 - Alho em cabeça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273,30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96791 - Morango, embalagem plástica de 500g ou 1kg, em bom estado de maturação;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7.536,07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11185 - Renilda Schermach Ulbrich (902.519.119-34)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51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96782 -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8.710,89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96783 - Repolho verde, s/ danos, c/ aproximadamente 2Kg/unid. 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5.436,81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96785 - Cebola em cabeça, s/ danos, saco de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4.222,40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96786 - Abobrinha verde, fresca,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96788 - Couve-flor e/ou brócolis americano, s/ danos, tamanho grande,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5.614,60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93528 - Alho em cabeça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273,30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96790 - Alface crespa e/ou roxa, sem danos, entrega quinzenal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2.356,00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96796 - Acelga cabeça fechada, s/danos, unid. aproximadamente 1,5Kg;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96797 - Couve em folhas, sem danos, maço de 8 folhas grandes;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1.403,50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32.075,50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11480 - CLEVERSON SEIDEL (067.571.819-83)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51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96782 -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1.432,77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96783 - Repolho verde, s/ danos, c/ aproximadamente 2Kg/unid. 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880,08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96784 - Tomate verdolengo,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2.636,48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96786 - Abobrinha verde, fresca,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1.344,42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93528 - Alho em cabeça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273,30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96791 - Morango, embalagem plástica de 500g ou 1kg, em bom estado de maturação;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96795 - Batata doce qualidade branca e/ou roxa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3.282,00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12.414,05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11806 - JOÃO ELOIR VEIGA (679.607.409-25)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45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96782 -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6.153,00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96784 - Tomate verdolengo,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8.560,00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96785 - Cebola em cabeça, s/ danos, saco de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96786 - Abobrinha verde, fresca,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1.344,42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96787 - Beterraba s/ folhas,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6.858,00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96788 - Couve-flor e/ou brócolis americano, s/ danos, tamanho grande,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6.532,50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96789 - Batata salsa, tipo mandioquinha,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4.750,00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96790 - Alface crespa e/ou roxa, sem danos, entrega quinzenal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2.299,00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39.976,92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11184 - Gilton Bruske  (082.402.149-59)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51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96781 - Batata inglesa, suja, sem danos,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22.855,00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96784 - Tomate verdolengo,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3.287,04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96785 - Cebola em cabeça, s/ danos, saco de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96795 - Batata doce qualidade branca e/ou roxa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96796 - Acelga cabeça fechada, s/danos, unid. aproximadamente 1,5Kg;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34.064,04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11183 - Ocir Kuss (497.637.769-53)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51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96782 -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3.691,80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96783 - Repolho verde, s/ danos, c/ aproximadamente 2Kg/unid. 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96787 - Beterraba s/ folhas,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5.022,00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96791 - Morango, embalagem plástica de 500g ou 1kg, em bom estado de maturação;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96796 - Acelga cabeça fechada, s/danos, unid. aproximadamente 1,5Kg;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1.326,00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96797 - Couve em folhas, sem danos, maço de 8 folhas grandes;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19.196,80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11481 - SCHEILA SEIDEL (067.571.839-27)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51"/>
        <w:gridCol w:w="905"/>
        <w:gridCol w:w="1011"/>
        <w:gridCol w:w="1298"/>
        <w:gridCol w:w="942"/>
        <w:gridCol w:w="1107"/>
      </w:tblGrid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96782 -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1.432,77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96783 - Repolho verde, s/ danos, c/ aproximadamente 2Kg/unid. 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1.789,11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96784 - Tomate verdolengo,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2.636,48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96785 - Cebola em cabeça, s/ danos, saco de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2.737,60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96786 - Abobrinha verde, fresca,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2.016,63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96788 - Couve-flor e/ou brócolis americano, s/ danos, tamanho grande,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2.592,90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93528 - Alho em cabeça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273,30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96790 - Alface crespa e/ou roxa, sem danos, entrega quinzenal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96791 - Morango, embalagem plástica de 500g ou 1kg, em bom estado de maturação;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17.088,79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11182 - Maria Marli Rodrigues da Luz Motelievicz (733.561.079-68)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738"/>
        <w:gridCol w:w="905"/>
        <w:gridCol w:w="1011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96791 - Morango, embalagem plástica de 500g ou 1kg, em bom estado de maturação;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2.565,00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01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color w:val="000000"/>
        </w:rPr>
      </w:pPr>
      <w:r>
        <w:rPr>
          <w:rFonts w:ascii="Calibri" w:hAnsi="Calibri" w:cs="Arial Narrow"/>
          <w:color w:val="000000"/>
        </w:rPr>
        <w:t xml:space="preserve">Giovana Andréa Zanini Kundlatsch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ascii="Calibri" w:hAnsi="Calibri" w:cs="Arial Narrow"/>
          <w:color w:val="000000"/>
        </w:rPr>
        <w:t xml:space="preserve">Presidente da Comissão  </w:t>
      </w: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512A1"/>
    <w:rsid w:val="4C2E54E1"/>
    <w:rsid w:val="5B2C057F"/>
    <w:rsid w:val="5DA638C6"/>
    <w:rsid w:val="60EC6236"/>
    <w:rsid w:val="6E09276E"/>
    <w:rsid w:val="7FAC0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2022-08-01T18:42:00Z</cp:lastPrinted>
  <dcterms:modified xsi:type="dcterms:W3CDTF">2022-08-01T19:03:55Z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13D4B18F957E49D6BDF4939ABFF1E836</vt:lpwstr>
  </property>
</Properties>
</file>