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para realizar reforma de pontos de t</w:t>
      </w:r>
      <w:r>
        <w:rPr>
          <w:rFonts w:hint="default" w:ascii="Calibri" w:hAnsi="Calibri" w:cs="Arial Narrow"/>
          <w:b/>
          <w:lang w:val="pt-BR"/>
        </w:rPr>
        <w:t>á</w:t>
      </w:r>
      <w:r>
        <w:rPr>
          <w:rFonts w:ascii="Calibri" w:hAnsi="Calibri" w:cs="Arial Narrow"/>
          <w:b/>
        </w:rPr>
        <w:t>xi, conforme memorial descritivo, planilhas e demais documentos constante no presente processo licitatório através da Secretaria Municipal de Meio Ambiente e Desenvolvimento Urbano.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hint="default" w:ascii="Calibri" w:hAnsi="Calibri" w:cs="Arial Narrow"/>
          <w:b/>
          <w:lang w:val="pt-BR"/>
        </w:rPr>
        <w:t xml:space="preserve">Tomada de Preço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 xml:space="preserve">021/2022 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361/2022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de Julgamento das Propostas: </w:t>
      </w:r>
      <w:r>
        <w:rPr>
          <w:rFonts w:hint="default" w:ascii="Calibri" w:hAnsi="Calibri" w:cs="Arial Narrow"/>
          <w:b/>
          <w:lang w:val="pt-BR"/>
        </w:rPr>
        <w:t>29</w:t>
      </w:r>
      <w:r>
        <w:rPr>
          <w:rFonts w:ascii="Calibri" w:hAnsi="Calibri" w:cs="Arial Narrow"/>
          <w:b/>
        </w:rPr>
        <w:t>/11/2022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02</w:t>
      </w:r>
      <w:r>
        <w:rPr>
          <w:rFonts w:ascii="Calibri" w:hAnsi="Calibri" w:cs="Arial Narrow"/>
          <w:b/>
        </w:rPr>
        <w:t>/1</w:t>
      </w:r>
      <w:r>
        <w:rPr>
          <w:rFonts w:hint="default" w:ascii="Calibri" w:hAnsi="Calibri" w:cs="Arial Narrow"/>
          <w:b/>
          <w:lang w:val="pt-BR"/>
        </w:rPr>
        <w:t>2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 e ite</w:t>
      </w:r>
      <w:r>
        <w:rPr>
          <w:rFonts w:hint="default" w:ascii="Calibri" w:hAnsi="Calibri" w:cs="Arial Narrow"/>
          <w:b/>
          <w:lang w:val="pt-BR"/>
        </w:rPr>
        <w:t>ns</w:t>
      </w:r>
      <w:r>
        <w:rPr>
          <w:rFonts w:ascii="Calibri" w:hAnsi="Calibri" w:cs="Arial Narrow"/>
          <w:b/>
        </w:rPr>
        <w:t xml:space="preserve">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r>
        <w:rPr>
          <w:rFonts w:ascii="Calibri" w:hAnsi="Calibri" w:cs="Arial Narrow"/>
          <w:b/>
        </w:rPr>
        <w:t>12512 - PRONTAX ENGENHARIA LTDA (30.981.798/0001-60)</w:t>
      </w:r>
    </w:p>
    <w:tbl>
      <w:tblPr>
        <w:tblStyle w:val="5"/>
        <w:tblW w:w="9335" w:type="dxa"/>
        <w:tblInd w:w="-3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41"/>
        <w:gridCol w:w="2462"/>
        <w:gridCol w:w="981"/>
        <w:gridCol w:w="1177"/>
        <w:gridCol w:w="830"/>
        <w:gridCol w:w="1189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98574 - Execução de obra para reforma do ponto de táxi da praça frente mercado Willner,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reforma do ponto de táxi da praça frente mercado Willner, com fornecimento de material e mão de obra, conforme memorial descritivo, planilhas e demais documentos constante no presente processo licitatório.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PRONTAX ENGENHARIA LTDA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51.099,59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51.099,59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98575 - Execução de obra para reforma do ponto de táxi da praça praça Rio Branco,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reforma do ponto de táxi da praça praça rio branco, com fornecimento de material e mão de obra, conforme memorial descritivo, planilhas e demais documentos constante no presente processo licitatório.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PRONTAX ENGENHARIA LTDA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51.099,59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51.099,59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98576 - Execução de obra para reforma do ponto de táxi da Praça Desembargador Guilherme Luiz Abry,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reforma do ponto de táxi da Praça Desembargador Guilherme Luiz Abry, com fornecimento de material e mão de obra, conforme memorial descritivo, planilhas e demais documentos constante no presente processo licitatório.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PRONTAX ENGENHARIA LTDA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75.099,08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75.099,08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98577 - Execução de obra para reforma  do ponto de táxi da praça do Expedicionário,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reforma  do ponto de táxi da praça do Expedicionário, com fornecimento de material e mão de obra, conforme memorial descritivo, planilhas e demais documentos constante no presente processo licitatório.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PRONTAX ENGENHARIA LTDA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52.454,94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52.454,94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98578 - Execução de obra para reforma do ponto de táxi da Rodoviária,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Execução de obra para reforma do ponto de táxi da Rodoviária, com fornecimento de material e mão de obra, conforme memorial descritivo, planilhas e demais documentos constante no presente processo licitatório.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PRONTAX ENGENHARIA LTDA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43.610,17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43.610,17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273.363,37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</w:t>
      </w:r>
      <w:r>
        <w:rPr>
          <w:rFonts w:hint="default" w:ascii="Calibri" w:hAnsi="Calibri" w:cs="Arial Narrow"/>
          <w:lang w:val="pt-BR"/>
        </w:rPr>
        <w:t>2</w:t>
      </w:r>
      <w:r>
        <w:rPr>
          <w:rFonts w:ascii="Calibri" w:hAnsi="Calibri" w:cs="Arial Narrow"/>
        </w:rPr>
        <w:t>/1</w:t>
      </w:r>
      <w:r>
        <w:rPr>
          <w:rFonts w:hint="default" w:ascii="Calibri" w:hAnsi="Calibri" w:cs="Arial Narrow"/>
          <w:lang w:val="pt-BR"/>
        </w:rPr>
        <w:t>2</w:t>
      </w:r>
      <w:r>
        <w:rPr>
          <w:rFonts w:ascii="Calibri" w:hAnsi="Calibri" w:cs="Arial Narrow"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>PAULA FERNANDA HABKOST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Presidente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Com. Permanente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400040" cy="1026795"/>
          <wp:effectExtent l="0" t="0" r="0" b="127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61A54"/>
    <w:rsid w:val="26A709BE"/>
    <w:rsid w:val="2DBB416F"/>
    <w:rsid w:val="39BE3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9</TotalTime>
  <ScaleCrop>false</ScaleCrop>
  <LinksUpToDate>false</LinksUpToDate>
  <CharactersWithSpaces>1053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cp:lastPrinted>2022-12-02T17:20:35Z</cp:lastPrinted>
  <dcterms:modified xsi:type="dcterms:W3CDTF">2022-12-02T17:26:50Z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D04C7F553B1D48E3BCF3B5BF2832A27A</vt:lpwstr>
  </property>
</Properties>
</file>