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01 (um) caminhão e tanque pipa novo, através da Secretaria Municipal de Obras e Serviços Públicos</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w:t>
      </w:r>
      <w:r>
        <w:rPr>
          <w:rFonts w:ascii="Calibri" w:hAnsi="Calibri" w:cs="Arial Narrow"/>
          <w:b/>
        </w:rPr>
        <w:t>número:</w:t>
      </w:r>
      <w:r>
        <w:rPr>
          <w:rFonts w:ascii="Calibri" w:hAnsi="Calibri" w:cs="Arial Narrow"/>
        </w:rPr>
        <w:t xml:space="preserve"> </w:t>
      </w:r>
      <w:r>
        <w:rPr>
          <w:rFonts w:ascii="Calibri" w:hAnsi="Calibri" w:cs="Arial Narrow"/>
          <w:b/>
        </w:rPr>
        <w:t>018/2023 PE</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059/2023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05/10/2023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0</w:t>
      </w:r>
      <w:r>
        <w:rPr>
          <w:rFonts w:hint="default" w:ascii="Calibri" w:hAnsi="Calibri" w:cs="Arial Narrow"/>
          <w:b/>
          <w:lang w:val="pt-BR"/>
        </w:rPr>
        <w:t>6</w:t>
      </w:r>
      <w:r>
        <w:rPr>
          <w:rFonts w:ascii="Calibri" w:hAnsi="Calibri" w:cs="Arial Narrow"/>
          <w:b/>
        </w:rPr>
        <w:t>/10/2023</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
        <w:rPr>
          <w:rFonts w:ascii="Calibri" w:hAnsi="Calibri" w:cs="Arial Narrow"/>
          <w:b/>
        </w:rPr>
        <w:t>
12989 - FORZA DISTRIBUIDORA LTDA (46.135.499/0001-45)</w:t>
      </w:r>
    </w:p>
    <w:tbl>
      <w:tblPr>
        <w:tblStyle w:val="5"/>
        <w:tblW w:w="0" w:type="auto"/>
        <w:tblInd w:w="0" w:type="dxa"/>
        <w:tblLayout w:type="autofit"/>
        <w:tblCellMar>
          <w:top w:w="0" w:type="dxa"/>
          <w:left w:w="108" w:type="dxa"/>
          <w:bottom w:w="0" w:type="dxa"/>
          <w:right w:w="108" w:type="dxa"/>
        </w:tblCellMar>
      </w:tblPr>
      <w:tblGrid>
        <w:gridCol w:w="764"/>
        <w:gridCol w:w="2394"/>
        <w:gridCol w:w="905"/>
        <w:gridCol w:w="921"/>
        <w:gridCol w:w="1298"/>
        <w:gridCol w:w="1219"/>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99446 - Caminhão médio (toco) novo, de fabricação nacional, ano e modelo 2022/2023</w:t>
            </w:r>
            <w:r>
              <w:rPr>
                <w:rFonts w:ascii="Calibri" w:hAnsi="Calibri" w:cs="Arial Narrow"/>
              </w:rPr>
              <w:br w:type="textWrapping"/>
            </w:r>
            <w:r>
              <w:rPr>
                <w:rFonts w:ascii="Calibri" w:hAnsi="Calibri" w:cs="Arial Narrow"/>
              </w:rPr>
              <w:t>cabine com capacidade de motorista e  2 passageiros,  estampada em aço tipo frontal/avançada e basculável  tração 4x2 , motor diesel de 06 cilindros em linha, turbo e intercooler, potência mínima de 280CV, caixa câmbio 6 marchas a frente e uma ré,(PBT) homologado de 16.000 kg, freio de serviços a ar com ABS , pneus  radiais sem câmara 275/80R22.5”, estepe incluso, direção hidráulica, rodado  traseiro duplo, ar condicionado, vidros elétricos, volante com  regulagem de altura,trava de portas elétricas, rádio AM/FM com USB, compacidade do tanque de combustível em alumínio de 275  litros, com chaves, peso bruto total(PBT) homologado de 16.000 kg, entre eixo de no mínimo 3.500 mm, compatível para instalação do acessório tanque de 9.000 litros previsto no lote 1 tacógrafo semanal digital , freios com ABS, com equipamentos obrigatórios de segurança (extintor, triângulo e macaco c/Cabo) cor branca, especificação exigidos pelo CONATRAN.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IVECO TECTOR 170E28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492.000,00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492.000,00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492.000,00</w:t>
            </w:r>
          </w:p>
        </w:tc>
      </w:tr>
    </w:tbl>
    <w:p/>
    <w:p/>
    <w:p/>
    <w:p/>
    <w:p/>
    <w:p/>
    <w:p/>
    <w:p/>
    <w:p>
      <w:r>
        <w:rPr>
          <w:rFonts w:ascii="Calibri" w:hAnsi="Calibri" w:cs="Arial Narrow"/>
          <w:b/>
        </w:rPr>
        <w:t>
12985 - AÇOMAQ INDUSTRIA E COMERCIO LTDA ME (00.880.483/0001-66)</w:t>
      </w:r>
    </w:p>
    <w:tbl>
      <w:tblPr>
        <w:tblStyle w:val="5"/>
        <w:tblW w:w="0" w:type="auto"/>
        <w:tblInd w:w="0" w:type="dxa"/>
        <w:tblLayout w:type="autofit"/>
        <w:tblCellMar>
          <w:top w:w="0" w:type="dxa"/>
          <w:left w:w="108" w:type="dxa"/>
          <w:bottom w:w="0" w:type="dxa"/>
          <w:right w:w="108" w:type="dxa"/>
        </w:tblCellMar>
      </w:tblPr>
      <w:tblGrid>
        <w:gridCol w:w="775"/>
        <w:gridCol w:w="2451"/>
        <w:gridCol w:w="905"/>
        <w:gridCol w:w="1077"/>
        <w:gridCol w:w="1298"/>
        <w:gridCol w:w="1107"/>
        <w:gridCol w:w="110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31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99444 - Tanque 9.000 litros sobre chassi, fabricado conforme as Normas do Inmetro em chapa de aço carbono para transporte de água, modelo auto portante/pipa</w:t>
            </w:r>
            <w:r>
              <w:rPr>
                <w:rFonts w:ascii="Calibri" w:hAnsi="Calibri" w:cs="Arial Narrow"/>
              </w:rPr>
              <w:br w:type="textWrapping"/>
            </w:r>
            <w:r>
              <w:rPr>
                <w:rFonts w:ascii="Calibri" w:hAnsi="Calibri" w:cs="Arial Narrow"/>
              </w:rPr>
              <w:t>instalado em caminhão 4x2 ou 6x4, com para lamas de plástico individual, instalação elétrica completo com lanternas em led escada modelo marinheiro, bomba de lata pressão com sistema multiplicador para sucção e recalque, carretel com 15 metros de mangueira e bico abastecedor, saída para engate de mangueira para bombeiro para 02 lados 1.1/2”, 01 lance de 08 metros de mangueira para sucção com válvula fundo de poço, rabo de pavão na parte traseira, barra irrigadora, acionamento de todos os equipamentos com sistema pneumático (direto da cabine), suporte de cone, suporte de extintor, para choque homologado e pintura externa em branco.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A�omaq ACC9LT</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93.000,00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93.000,00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93.000,00</w:t>
            </w:r>
          </w:p>
        </w:tc>
      </w:tr>
    </w:tbl>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0</w:t>
      </w:r>
      <w:r>
        <w:rPr>
          <w:rFonts w:hint="default" w:ascii="Calibri" w:hAnsi="Calibri" w:cs="Arial Narrow"/>
          <w:lang w:val="pt-BR"/>
        </w:rPr>
        <w:t>6</w:t>
      </w:r>
      <w:r>
        <w:rPr>
          <w:rFonts w:ascii="Calibri" w:hAnsi="Calibri" w:cs="Arial Narrow"/>
        </w:rPr>
        <w:t>/10/2023</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bCs/>
          <w:lang w:val="pt-BR"/>
        </w:rPr>
      </w:pPr>
      <w:r>
        <w:rPr>
          <w:rFonts w:hint="default" w:ascii="Calibri" w:hAnsi="Calibri" w:cs="Arial Narrow"/>
          <w:bCs/>
          <w:lang w:val="pt-BR"/>
        </w:rPr>
        <w:t>Luiz Roberto da Costa Ceccon</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bookmarkStart w:id="1" w:name="_GoBack"/>
      <w:bookmarkEnd w:id="1"/>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Calibri" w:hAnsi="Calibri" w:cs="Calibri"/>
        <w:sz w:val="40"/>
        <w:szCs w:val="40"/>
        <w:u w:val="single"/>
      </w:rPr>
    </w:pPr>
    <w:r>
      <w:rPr>
        <w:lang w:eastAsia="en-US"/>
      </w:rPr>
      <mc:AlternateContent>
        <mc:Choice Requires="wps">
          <w:drawing>
            <wp:anchor distT="0" distB="0" distL="114300" distR="114300" simplePos="0" relativeHeight="251659264" behindDoc="0" locked="0" layoutInCell="1" allowOverlap="1">
              <wp:simplePos x="0" y="0"/>
              <wp:positionH relativeFrom="column">
                <wp:posOffset>-589915</wp:posOffset>
              </wp:positionH>
              <wp:positionV relativeFrom="paragraph">
                <wp:posOffset>-218440</wp:posOffset>
              </wp:positionV>
              <wp:extent cx="1212215" cy="1026160"/>
              <wp:effectExtent l="0" t="0" r="6985" b="2540"/>
              <wp:wrapNone/>
              <wp:docPr id="1" name="Caixa de texto 1"/>
              <wp:cNvGraphicFramePr/>
              <a:graphic xmlns:a="http://schemas.openxmlformats.org/drawingml/2006/main">
                <a:graphicData uri="http://schemas.microsoft.com/office/word/2010/wordprocessingShape">
                  <wps:wsp>
                    <wps:cNvSpPr txBox="1"/>
                    <wps:spPr>
                      <a:xfrm>
                        <a:off x="0" y="0"/>
                        <a:ext cx="1212215" cy="1026160"/>
                      </a:xfrm>
                      <a:prstGeom prst="rect">
                        <a:avLst/>
                      </a:prstGeom>
                      <a:solidFill>
                        <a:srgbClr val="FFFFFF"/>
                      </a:solidFill>
                      <a:ln>
                        <a:noFill/>
                      </a:ln>
                    </wps:spPr>
                    <wps:txbx>
                      <w:txbxContent>
                        <w:p>
                          <w:pPr>
                            <w:ind w:left="-851" w:firstLine="851"/>
                          </w:pPr>
                          <w:bookmarkStart w:id="0" w:name="_MON_1499864854"/>
                          <w:bookmarkEnd w:id="0"/>
                          <w:r>
                            <w:object>
                              <v:shape id="_x0000_i1025" o:spt="75" type="#_x0000_t75" style="height:76.5pt;width:81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txbxContent>
                    </wps:txbx>
                    <wps:bodyPr wrap="none" upright="1"/>
                  </wps:wsp>
                </a:graphicData>
              </a:graphic>
            </wp:anchor>
          </w:drawing>
        </mc:Choice>
        <mc:Fallback>
          <w:pict>
            <v:shape id="Caixa de texto 1" o:spid="_x0000_s1026" o:spt="202" type="#_x0000_t202" style="position:absolute;left:0pt;margin-left:-46.45pt;margin-top:-17.2pt;height:80.8pt;width:95.45pt;mso-wrap-style:none;z-index:251659264;mso-width-relative:margin;mso-height-relative:margin;" fillcolor="#FFFFFF" filled="t" stroked="f" coordsize="21600,21600" o:gfxdata="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GWIn9gAAAAKAQAADwAAAAAAAAABACAAAAAiAAAAZHJzL2Rvd25yZXYueG1s&#10;UEsBAhQAFAAAAAgAh07iQNY0Leq/AQAAiQMAAA4AAAAAAAAAAQAgAAAAJwEAAGRycy9lMm9Eb2Mu&#10;eG1sUEsFBgAAAAAGAAYAWQEAAFgFAAAAAA==&#10;">
              <v:fill on="t" focussize="0,0"/>
              <v:stroke on="f"/>
              <v:imagedata o:title=""/>
              <o:lock v:ext="edit" aspectratio="f"/>
              <v:textbox>
                <w:txbxContent>
                  <w:p>
                    <w:pPr>
                      <w:ind w:left="-851" w:firstLine="851"/>
                    </w:pPr>
                    <w:bookmarkStart w:id="0" w:name="_MON_1499864854"/>
                    <w:bookmarkEnd w:id="0"/>
                    <w:r>
                      <w:object>
                        <v:shape id="_x0000_i1025" o:spt="75" type="#_x0000_t75" style="height:76.5pt;width:81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6" r:id="rId3">
                          <o:LockedField>false</o:LockedField>
                        </o:OLEObject>
                      </w:object>
                    </w:r>
                  </w:p>
                </w:txbxContent>
              </v:textbox>
            </v:shape>
          </w:pict>
        </mc:Fallback>
      </mc:AlternateContent>
    </w:r>
    <w:r>
      <w:rPr>
        <w:sz w:val="48"/>
      </w:rPr>
      <w:t xml:space="preserve"> </w:t>
    </w:r>
    <w:r>
      <w:rPr>
        <w:rFonts w:ascii="Calibri" w:hAnsi="Calibri" w:cs="Calibri"/>
        <w:sz w:val="40"/>
        <w:szCs w:val="40"/>
      </w:rPr>
      <w:t xml:space="preserve">     </w:t>
    </w:r>
    <w:r>
      <w:rPr>
        <w:rFonts w:ascii="Calibri" w:hAnsi="Calibri" w:cs="Calibri"/>
        <w:sz w:val="40"/>
        <w:szCs w:val="40"/>
        <w:u w:val="single"/>
      </w:rPr>
      <w:t xml:space="preserve">Prefeitura do Município de Mafra </w:t>
    </w:r>
  </w:p>
  <w:p>
    <w:pPr>
      <w:pStyle w:val="2"/>
      <w:tabs>
        <w:tab w:val="left" w:pos="2552"/>
      </w:tabs>
      <w:ind w:left="2694" w:hanging="1985"/>
      <w:jc w:val="center"/>
      <w:rPr>
        <w:rFonts w:ascii="Calibri" w:hAnsi="Calibri" w:cs="Calibri"/>
        <w:sz w:val="40"/>
        <w:szCs w:val="40"/>
      </w:rPr>
    </w:pPr>
    <w:r>
      <w:rPr>
        <w:rFonts w:ascii="Calibri" w:hAnsi="Calibri" w:cs="Calibri"/>
        <w:sz w:val="40"/>
        <w:szCs w:val="40"/>
      </w:rPr>
      <w:t>ESTADO DE SANTA CATARINA</w:t>
    </w:r>
  </w:p>
  <w:p>
    <w:pPr>
      <w:pStyle w:val="14"/>
      <w:jc w:val="center"/>
      <w:rPr>
        <w:rFonts w:ascii="Calibri" w:hAnsi="Calibri"/>
      </w:rPr>
    </w:pPr>
    <w:r>
      <w:rPr>
        <w:rFonts w:ascii="Calibri" w:hAnsi="Calibri"/>
      </w:rPr>
      <w:t>Av. Prefeito Frederico Heyse, 1386 – Ed. Francisco Grossl – Centro - Fone: (47)3641-4000</w:t>
    </w:r>
  </w:p>
  <w:p>
    <w:pPr>
      <w:pStyle w:val="14"/>
      <w:jc w:val="center"/>
      <w:rPr>
        <w:rFonts w:ascii="Calibri" w:hAnsi="Calibri"/>
      </w:rPr>
    </w:pPr>
    <w:r>
      <w:rPr>
        <w:rFonts w:ascii="Calibri" w:hAnsi="Calibri"/>
      </w:rPr>
      <w:t>CNPJ: 83.102.509/0001-72 - www.mafra.sc.gov.br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651303"/>
    <w:rsid w:val="0073498F"/>
    <w:rsid w:val="007D138B"/>
    <w:rsid w:val="007F17E8"/>
    <w:rsid w:val="00844D1E"/>
    <w:rsid w:val="008C0D4F"/>
    <w:rsid w:val="009C1DF5"/>
    <w:rsid w:val="00A33F38"/>
    <w:rsid w:val="00A57EC6"/>
    <w:rsid w:val="00A97DDE"/>
    <w:rsid w:val="00AA69C6"/>
    <w:rsid w:val="00C4633A"/>
    <w:rsid w:val="00C73AC6"/>
    <w:rsid w:val="00CE0695"/>
    <w:rsid w:val="00D815AD"/>
    <w:rsid w:val="00DD31D1"/>
    <w:rsid w:val="00DE4FFA"/>
    <w:rsid w:val="00F301B1"/>
    <w:rsid w:val="00F503C6"/>
    <w:rsid w:val="00F645AD"/>
    <w:rsid w:val="2A0D0254"/>
    <w:rsid w:val="5BD74D1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0"/>
    <w:unhideWhenUsed/>
    <w:uiPriority w:val="99"/>
    <w:pPr>
      <w:tabs>
        <w:tab w:val="center" w:pos="4252"/>
        <w:tab w:val="right" w:pos="8504"/>
      </w:tabs>
      <w:spacing w:after="0" w:line="240" w:lineRule="auto"/>
    </w:pPr>
  </w:style>
  <w:style w:type="paragraph" w:styleId="7">
    <w:name w:val="footer"/>
    <w:basedOn w:val="1"/>
    <w:link w:val="11"/>
    <w:unhideWhenUsed/>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24</TotalTime>
  <ScaleCrop>false</ScaleCrop>
  <LinksUpToDate>false</LinksUpToDate>
  <CharactersWithSpaces>1053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2023-10-06T17:57:43Z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1BE20A3A23D8431DBF0B42233F55C0D9_13</vt:lpwstr>
  </property>
</Properties>
</file>