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 w:ascii="Calibri" w:hAnsi="Calibri" w:cs="Calibri"/>
          <w:sz w:val="22"/>
          <w:szCs w:val="22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adequação no Centro Municipal  de Hidroterapia, conforme memorial descritivo e tabela de valores, através da Secretaria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057/2023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202/2023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09/10/2023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09/10/2023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13007 - TRAÇOS SERVIÇOS LTDA (35.898.033/0001-85)</w:t>
      </w:r>
    </w:p>
    <w:tbl>
      <w:tblPr>
        <w:tblStyle w:val="5"/>
        <w:tblW w:w="10221" w:type="dxa"/>
        <w:tblInd w:w="-6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69"/>
        <w:gridCol w:w="3249"/>
        <w:gridCol w:w="1262"/>
        <w:gridCol w:w="1096"/>
        <w:gridCol w:w="1014"/>
        <w:gridCol w:w="1169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100833 - Execução de adequações no Centro Municipal de Hidroterapia,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adequações no Centro Municipal de Hidroterapia, localizado na Rua Jorge Sabatke, 660, bairro Vila Ferroviária, com fornecimento de material e mão de obra, conforme memorial descritivo, planilhas e demais documentos constante no processo licitatório.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Divisystem Drywall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69.445,00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69.445,00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69.445,00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09/10/2023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1D13"/>
    <w:rsid w:val="4B523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2023-10-10T18:59:18Z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CC615182DC7D45D696B4837F63F90E0F</vt:lpwstr>
  </property>
</Properties>
</file>