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  <w:bookmarkStart w:id="1" w:name="_GoBack"/>
      <w:bookmarkEnd w:id="1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e instalação de Persianas, através das Secretarias Municipais, do Corpo de Bombeiros Militar e da Polícia Militar do Município de Mafra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090/2023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289/2023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16/02/2024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26</w:t>
      </w:r>
      <w:r>
        <w:rPr>
          <w:rFonts w:ascii="Calibri" w:hAnsi="Calibri" w:cs="Arial Narrow"/>
          <w:b/>
        </w:rPr>
        <w:t>/02/2024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
</w:t>
      </w:r>
    </w:p>
    <w:p>
      <w:r>
        <w:rPr>
          <w:rFonts w:ascii="Calibri" w:hAnsi="Calibri" w:cs="Arial Narrow"/>
          <w:b/>
        </w:rPr>
        <w:t>13170 - M GIROLDO DECORA LTDA (18.900.026/0001-51)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232"/>
        <w:gridCol w:w="905"/>
        <w:gridCol w:w="1392"/>
        <w:gridCol w:w="1298"/>
        <w:gridCol w:w="942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101969 - Persiana Rolo Tubo T35 Absolut 2.0, Tela Solar 1%, cor Branca. Com instalação inclusa.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PERSIANA ROLO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98,95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87.076,00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101968 - Persiana Rolo Blecaute, cor Silver, 100% Poliester, espessura do tecido 0,80mm. Com instalação inclusa.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PERSIANA ROLO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377,8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95,30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36.004,34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101953 - Persiana horizontal 25mm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lâminas 0.21 micras espessura em liga de alumínio, cabeçote e base em galvalume pintura eletrostática, corda 1.2 poliéster, cadarço com espaçamento furo aparentemente poliéster, tampas base e cabeçote em PVC transparente, freio em PVC cristal com rolete em aço, giro em PVC cristal lubrificado internamente, bastão em PVC acrílico com gancho e terminal. Agarradeiras em aço. Com instalação inclusa. (Cozinha, Refeitório e Lavanderia Abrigo Institucional e Cras Vila Ivete)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PERSIANA HORIZONTAL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95,60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15.774,00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101954 - Persiana Rolo, tubo 38 mm extrudado em alumínio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ponta oposta em PVC com pino retrátil e travamento anti queda, comando com redução de peso em PVC com molas internas em aço, corrente bola 10 PVC e poliéster, emenda e limitadores em PVC cristal, base alumínio com tampas laterais PVC em cores, Bando integrado em alumínio com tampas laterais PVC em cores, agarradeiras em aço temperado. Tecido Blackout 100% poliéster com camada Acrílica, peso aproximado 0,460 g/m2, proteção UV aproximada de 98%. Com instalação inclusa. (Quartos e Sala Abrigo Institucional)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PERSIANA ROLO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119,30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4.652,70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101955 - Persiana Rolo Sheer (Double Vision), tubo 38 mm extrudado em alumínio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ponta oposta em PVC com pino retrátil e travamento anti queda, comando com redução de peso em PVC com molas internas em aço, corrente bola 10 PVC e poliéster, limitador interno de ponto alto e baixo, base alumínio com tampas laterais PVC em cores, Bando integrado em alumínio com tampas laterais PVC em cores, agarradeiras em aço temperado. Tecido 100% poliéster, peso aproximado 0,150 g/m2, com faixa sólida (translúcido) altura aproximada 9 cm e faixa transparente altura aproximada 5,5 cm, proteção UV aproximado 80%. Agarradeiras em aço temperado. Com instalação inclusa. (Coordenação, Sala de Visita e Sala Técnicos Abrigo Institucional).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PERSIANA ROLO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161,20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12.090,00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101972 - Persiana vertical bege 100% blackout, liso, sem bandô, e com abertura central. Cada lâmina com 80cm de diâmetro giram em 180°. Lâmina em tecido. Com instalação inclusa.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PR�PRIA PERSIANA VERTICAL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106,80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14.952,00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170.549,04</w:t>
            </w:r>
          </w:p>
        </w:tc>
      </w:tr>
    </w:tbl>
    <w:p/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26</w:t>
      </w:r>
      <w:r>
        <w:rPr>
          <w:rFonts w:ascii="Calibri" w:hAnsi="Calibri" w:cs="Arial Narrow"/>
        </w:rPr>
        <w:t>/02/2024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57C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25</TotalTime>
  <ScaleCrop>false</ScaleCrop>
  <LinksUpToDate>false</LinksUpToDate>
  <CharactersWithSpaces>1053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2024-02-26T11:36:06Z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3B7A805572404E33962F5AC279E6C569_13</vt:lpwstr>
  </property>
</Properties>
</file>