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hint="default"/>
          <w:lang w:val="pt-BR"/>
        </w:rPr>
        <w:drawing>
          <wp:inline distT="0" distB="0" distL="114300" distR="114300">
            <wp:extent cx="6102350"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7"/>
                    <a:stretch>
                      <a:fillRect/>
                    </a:stretch>
                  </pic:blipFill>
                  <pic:spPr>
                    <a:xfrm>
                      <a:off x="0" y="0"/>
                      <a:ext cx="6102350" cy="1073150"/>
                    </a:xfrm>
                    <a:prstGeom prst="rect">
                      <a:avLst/>
                    </a:prstGeom>
                  </pic:spPr>
                </pic:pic>
              </a:graphicData>
            </a:graphic>
          </wp:inline>
        </w:drawing>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2736"/>
        </w:tabs>
        <w:overflowPunct w:val="0"/>
        <w:autoSpaceDE w:val="0"/>
        <w:autoSpaceDN w:val="0"/>
        <w:adjustRightInd w:val="0"/>
        <w:spacing w:after="0" w:line="240" w:lineRule="auto"/>
        <w:ind w:right="720"/>
        <w:jc w:val="both"/>
        <w:textAlignment w:val="baseline"/>
        <w:rPr>
          <w:rFonts w:ascii="Calibri" w:hAnsi="Calibri"/>
        </w:rPr>
      </w:pPr>
      <w:r>
        <w:rPr>
          <w:rFonts w:ascii="Calibri" w:hAnsi="Calibri"/>
        </w:rPr>
        <w:t xml:space="preserve">Com base na lei </w:t>
      </w:r>
      <w:r>
        <w:rPr>
          <w:rFonts w:hint="default" w:ascii="Calibri" w:hAnsi="Calibri"/>
          <w:lang w:val="pt-BR"/>
        </w:rPr>
        <w:t>14.133/21</w:t>
      </w:r>
      <w:r>
        <w:rPr>
          <w:rFonts w:ascii="Calibri" w:hAnsi="Calibri"/>
        </w:rPr>
        <w:t>, torna-se público o resultado referente a licitação abaixo mencionada:</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um aparelho de ultrassom para atendimento às demandas da Secretaria de Saúde, com recurso de Transferência Especial Voluntária definidos na portaria conjunta SGG-SEF nº 005/2023</w:t>
      </w:r>
      <w:r>
        <w:rPr>
          <w:rFonts w:ascii="Calibri" w:hAnsi="Calibri" w:cs="Arial Narrow"/>
        </w:rPr>
        <w:t xml:space="preserve"> </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w:t>
      </w:r>
      <w:r>
        <w:rPr>
          <w:rFonts w:ascii="Calibri" w:hAnsi="Calibri" w:cs="Arial Narrow"/>
          <w:b/>
        </w:rPr>
        <w:t xml:space="preserve"> número:</w:t>
      </w:r>
      <w:r>
        <w:rPr>
          <w:rFonts w:ascii="Calibri" w:hAnsi="Calibri" w:cs="Arial Narrow"/>
        </w:rPr>
        <w:t xml:space="preserve"> </w:t>
      </w:r>
      <w:r>
        <w:rPr>
          <w:rFonts w:ascii="Calibri" w:hAnsi="Calibri" w:cs="Arial Narrow"/>
          <w:b/>
        </w:rPr>
        <w:t>014/2024</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040/2024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17/06/2024</w:t>
      </w: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1</w:t>
      </w:r>
      <w:r>
        <w:rPr>
          <w:rFonts w:hint="default" w:ascii="Calibri" w:hAnsi="Calibri" w:cs="Arial Narrow"/>
          <w:b/>
          <w:lang w:val="pt-BR"/>
        </w:rPr>
        <w:t>8</w:t>
      </w:r>
      <w:r>
        <w:rPr>
          <w:rFonts w:ascii="Calibri" w:hAnsi="Calibri" w:cs="Arial Narrow"/>
          <w:b/>
        </w:rPr>
        <w:t>/06/2024</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Fornecedores e itens declarados Adjudicados:</w:t>
      </w:r>
    </w:p>
    <w:p>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pPr>
        <w:rPr>
          <w:sz w:val="18"/>
          <w:szCs w:val="18"/>
        </w:rPr>
      </w:pPr>
      <w:r>
        <w:rPr>
          <w:rFonts w:ascii="Calibri" w:hAnsi="Calibri" w:cs="Arial Narrow"/>
          <w:b/>
        </w:rPr>
        <w:t>
5713 - IMP EQUIPAMENTOS MEDICOS LTDA - ME (10.625.395/0001-71)</w:t>
      </w:r>
    </w:p>
    <w:tbl>
      <w:tblPr>
        <w:tblStyle w:val="5"/>
        <w:tblW w:w="9927" w:type="dxa"/>
        <w:tblInd w:w="-671" w:type="dxa"/>
        <w:tblLayout w:type="autofit"/>
        <w:tblCellMar>
          <w:top w:w="0" w:type="dxa"/>
          <w:left w:w="108" w:type="dxa"/>
          <w:bottom w:w="0" w:type="dxa"/>
          <w:right w:w="108" w:type="dxa"/>
        </w:tblCellMar>
      </w:tblPr>
      <w:tblGrid>
        <w:gridCol w:w="564"/>
        <w:gridCol w:w="3882"/>
        <w:gridCol w:w="882"/>
        <w:gridCol w:w="888"/>
        <w:gridCol w:w="1101"/>
        <w:gridCol w:w="1416"/>
        <w:gridCol w:w="1194"/>
      </w:tblGrid>
      <w:tr>
        <w:tblPrEx>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b/>
                <w:sz w:val="18"/>
                <w:szCs w:val="18"/>
              </w:rPr>
              <w:t>Item</w:t>
            </w:r>
          </w:p>
        </w:tc>
        <w:tc>
          <w:tcPr>
            <w:tcW w:w="3882"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b/>
                <w:sz w:val="18"/>
                <w:szCs w:val="18"/>
              </w:rPr>
              <w:t>Material/Serviço</w:t>
            </w:r>
          </w:p>
        </w:tc>
        <w:tc>
          <w:tcPr>
            <w:tcW w:w="882"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b/>
                <w:sz w:val="18"/>
                <w:szCs w:val="18"/>
              </w:rPr>
              <w:t>Unid. medida</w:t>
            </w:r>
          </w:p>
        </w:tc>
        <w:tc>
          <w:tcPr>
            <w:tcW w:w="888"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b/>
                <w:sz w:val="18"/>
                <w:szCs w:val="18"/>
              </w:rPr>
              <w:t>Marca</w:t>
            </w:r>
          </w:p>
        </w:tc>
        <w:tc>
          <w:tcPr>
            <w:tcW w:w="1101"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b/>
                <w:sz w:val="18"/>
                <w:szCs w:val="18"/>
              </w:rPr>
              <w:t>Quantidade</w:t>
            </w:r>
          </w:p>
        </w:tc>
        <w:tc>
          <w:tcPr>
            <w:tcW w:w="1416"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b/>
                <w:sz w:val="18"/>
                <w:szCs w:val="18"/>
              </w:rPr>
              <w:t>Valor unitário (R$)</w:t>
            </w:r>
          </w:p>
        </w:tc>
        <w:tc>
          <w:tcPr>
            <w:tcW w:w="1194"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b/>
                <w:sz w:val="18"/>
                <w:szCs w:val="18"/>
              </w:rPr>
              <w:t>Valor total (R$)</w:t>
            </w:r>
          </w:p>
        </w:tc>
      </w:tr>
      <w:tr>
        <w:tblPrEx>
          <w:tblCellMar>
            <w:top w:w="0" w:type="dxa"/>
            <w:left w:w="108" w:type="dxa"/>
            <w:bottom w:w="0" w:type="dxa"/>
            <w:right w:w="108" w:type="dxa"/>
          </w:tblCellMar>
        </w:tblPrEx>
        <w:tc>
          <w:tcPr>
            <w:tcW w:w="564"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sz w:val="18"/>
                <w:szCs w:val="18"/>
              </w:rPr>
              <w:t>1</w:t>
            </w:r>
          </w:p>
        </w:tc>
        <w:tc>
          <w:tcPr>
            <w:tcW w:w="3882"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sz w:val="18"/>
                <w:szCs w:val="18"/>
              </w:rPr>
              <w:t>102625 - Sistema de ultrassom compacto e arquitetura altamente ergonômica e confortável ao usuário</w:t>
            </w:r>
            <w:r>
              <w:rPr>
                <w:rFonts w:ascii="Calibri" w:hAnsi="Calibri" w:cs="Arial Narrow"/>
                <w:sz w:val="18"/>
                <w:szCs w:val="18"/>
              </w:rPr>
              <w:br w:type="textWrapping"/>
            </w:r>
            <w:r>
              <w:rPr>
                <w:rFonts w:ascii="Calibri" w:hAnsi="Calibri" w:cs="Arial Narrow"/>
                <w:sz w:val="18"/>
                <w:szCs w:val="18"/>
              </w:rPr>
              <w:t>Excelente qualidade de imagem e ferramentas de produtividade, incluindo inteligência artificial e personalização que tornam a sua rotina mais rápida e fácil. Atende a uma ampla gama de aplicações clínicas como abdominal, medicina interna, músculo esquelético, mama, tireóide, vascular (cerebral, periférico, abdominal); cardiologia adulta, pediátrica e neonatal, capacidade para exames transcraniano, transfontanelar (com transdutor exclusivo dedicado). Capacidade futura de adquirir software geral para aplicações em exames dedicado à Medicina Fetal com exames para área de Ecocárdio neonatal e pediátrico, com transdutores dedicados. Equipamento com a possibilidade de expansão para uso de tecnologias avançadas como elastografia Shear Wave em ampla gama de transdutores, além de serviços compartilhados para cardiologia e obstetrícia 4D. Possui excepcional qualidade de imagens através de plataforma diferenciada além de ferramentas de otimização de imagem como Harmônica Codificada melhorando a resolução de contraste. Possibilidade futura de software de visualização de contraste em tempo real para estudos de perfusão. Software capacitado com ferramentas de pós processamento completo de imagens. Permite um escaneamento virtual de imagens arquivadas, para melhorar imagens, realização de medidas e anotações em imagens já arquivadas. Ajustes de altura e rotação do painel. Monitor de 23,8” LCD de alta resolução com braço articulado, Touchscreen LCD de 10,4’’, TGC e teclado digital touch screen, transdutores leves e versáteis. Acompanha teclado alfa numérico físico e aquecedor de gel incorporado ao equipamento. Software que apresenta a tecnologia que permite visualizar a hemodinâmica do fluxo em tempo real através de codificação digital do sinal do Modo-B. Permite a visualização de vasos de menor calibre, de baixa velocidade com maior sensibilidade, incluindo B-flow , HD color. Software capacitado com ferramentas que permitem a melhoria do fluxo de trabalho e otimização do tempo de exame como o protocolo Scan Assistant. Software que permite o ajuste automático do Modo-B e Doppler espectral. Software disponibilizado com a medida automática da média intimal em protocolos de carótidas. Capacitado com disco rígido de 500GB. Capacitado com 4(quatro) portas ativas com alça de suporte para os cabos. Alças de apoio dianteiras e traseiras. O sistema fornece modos de imagem em Modo B, Modo M, Modo M com cor, Imagem estendida panorâmica, Power Doppler, B-Flow e 3D freehand. Disponível os softwares com capacitação para os modos Opcionais Doppler Contínuo para cardiologia e Modo Volume (3D estático e 4D Tempo Real)-quando adquirido software. Modos de divisão de imagem: Modo B, B/B e 4B; Doppler Colorido: B/C com 1, 2 ou 4 imagens e modos Triplex simultâneo B/M/C e B/C/D, B/B-flow. Capacitado com Reconstrução 3D; Modo-M, Modo M-Anatômico, Doppler Colorido, Doppler Pulsado (PW), High PRF, PW , Doppler Contínuo (CW); Ferramentas de medições incluindo: distância, profundidade, área e circunferência; Imagens em tons de cinza 2D; Doppler de tecido; Imagem Harmônica Tecidual (THI) com tecnologia de inversão de pulso; TDI; Doppler Tecidual colorido e espectral; Otimização automática do Doppler Espectral ao toque de um botão; Capacidade futura de adquirir transdutores: volumétrico endocavitário, linear intra operatório, alta frequência, setorial neonato, pediátrico e transesofágico. Possibilidade de adquirir o software para aquisição de imagens tridimensionais em tempo real com capacidade de adquirir e exibir até 40 volumes/s no modo 4D; Possibilidade futura de adquirir software de aquisição de imagem 4D em pelo menos transdutores convexos e endocavitários; Possibilidade de possuir ferramentas para visualização e quantificação de volumes 3D, permitindo visualizar, cortar, rotacionar, acessar e usar todos os controles de visão para medições rotineiras de volumes 3D; Possibilidade futura de adquirir o software de avaliação 3D do coração fetal (STIC); Software de biometria fetal . Disponibilizados protocolos progra</w:t>
            </w:r>
            <w:r>
              <w:rPr>
                <w:rFonts w:ascii="Calibri" w:hAnsi="Calibri" w:cs="Arial Narrow"/>
                <w:sz w:val="18"/>
                <w:szCs w:val="18"/>
              </w:rPr>
              <w:t>máveis de imagens para exames específicos. Capacitados com Pan/Zoom em tempo real para melhor visualização lateral e de profundidade. Capacitado com virtual convexo processo adaptativo que permite aumentar o campo de visão de transdutores lineares e setoriais em até 20%. Softwares que permitem a angulação independente para Modo B e Doppler colorido em transdutores lineares. Capacitado com Doppler Espectral digital com controles para ajuste de tamanho da amostra, velocidade da escala, filtro de parede, correção de ângulo, modos duplex e triplex, e inversão de imagem. Com optimização automática das frequências de Doppler Colorido/Power Doppler ou manual. Capacitado com no mínimo 385.000 canais digitais de processamento. Com escala de cinza – 256 imagem trapezoidal em tempo real para transdutores lineares; Inclinação independente da imagem modo B, Doppler pulsado e Doppler colorido para o transdutor linear. Capacitado com os exames para: varredura vascular; obstetrícia/ginecologia; urologia. Realiza todas medidas ou anotações em imagens armazenadas; Capacitado com software que permite captura de volume 3D free hand e possibilidade de 3D com Doppler. Doppler tecidual espectral e colorido com os respectivos pacotes de medidas. Deve possuir plano de manutenção preventiva regular (a cada 6 meses), realizado por técnicos especializados, a fim de garantir o funcionamento adequado e prolongar a vida útil do equipamento. Capacitação e Treinamento: Desenvolvimento de programas de capacitação e treinamento fornecido pela empresa contratada para os profissionais de saúde que utilizarão o ultrassom. Fornecimento de Nobreak Estabilizador: Considera-se apropriado o fornecimento de um nobreak estabilizador para garantir a proteção do equipamento contra flutuações de energia e possíveis danos decorrentes de quedas de energia ou picos de tensão. Garantia de Peças e Reposição: Estabelecimento de um contrato de garantia que inclua o fornecimento de peças originais e reposição, assegurando a prontidão na solução de eventuais problemas técnicos e a continuidade operacional do equipamento.</w:t>
            </w:r>
          </w:p>
        </w:tc>
        <w:tc>
          <w:tcPr>
            <w:tcW w:w="882"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sz w:val="18"/>
                <w:szCs w:val="18"/>
              </w:rPr>
              <w:t>Un</w:t>
            </w:r>
          </w:p>
        </w:tc>
        <w:tc>
          <w:tcPr>
            <w:tcW w:w="888" w:type="dxa"/>
            <w:tcBorders>
              <w:top w:val="single" w:color="auto" w:sz="4" w:space="0"/>
              <w:left w:val="single" w:color="auto" w:sz="4" w:space="0"/>
              <w:bottom w:val="single" w:color="auto" w:sz="4" w:space="0"/>
              <w:right w:val="single" w:color="auto" w:sz="4" w:space="0"/>
            </w:tcBorders>
          </w:tcPr>
          <w:p>
            <w:pPr>
              <w:spacing w:after="0"/>
              <w:rPr>
                <w:sz w:val="18"/>
                <w:szCs w:val="18"/>
              </w:rPr>
            </w:pPr>
            <w:r>
              <w:rPr>
                <w:rFonts w:ascii="Calibri" w:hAnsi="Calibri" w:cs="Arial Narrow"/>
                <w:sz w:val="18"/>
                <w:szCs w:val="18"/>
              </w:rPr>
              <w:t>mindray DC-70</w:t>
            </w:r>
          </w:p>
        </w:tc>
        <w:tc>
          <w:tcPr>
            <w:tcW w:w="1101"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sz w:val="18"/>
                <w:szCs w:val="18"/>
              </w:rPr>
              <w:t>1</w:t>
            </w:r>
          </w:p>
        </w:tc>
        <w:tc>
          <w:tcPr>
            <w:tcW w:w="1416"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sz w:val="18"/>
                <w:szCs w:val="18"/>
              </w:rPr>
              <w:t xml:space="preserve"> 185.990,00</w:t>
            </w:r>
          </w:p>
        </w:tc>
        <w:tc>
          <w:tcPr>
            <w:tcW w:w="1194"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sz w:val="18"/>
                <w:szCs w:val="18"/>
              </w:rPr>
              <w:t xml:space="preserve"> 185.990,00</w:t>
            </w:r>
          </w:p>
        </w:tc>
      </w:tr>
      <w:tr>
        <w:tblPrEx>
          <w:tblCellMar>
            <w:top w:w="0" w:type="dxa"/>
            <w:left w:w="108" w:type="dxa"/>
            <w:bottom w:w="0" w:type="dxa"/>
            <w:right w:w="108" w:type="dxa"/>
          </w:tblCellMar>
        </w:tblPrEx>
        <w:tc>
          <w:tcPr>
            <w:tcW w:w="8733" w:type="dxa"/>
            <w:gridSpan w:val="6"/>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b/>
                <w:sz w:val="18"/>
                <w:szCs w:val="18"/>
              </w:rPr>
              <w:t>Total (R$):</w:t>
            </w:r>
          </w:p>
        </w:tc>
        <w:tc>
          <w:tcPr>
            <w:tcW w:w="1194" w:type="dxa"/>
            <w:tcBorders>
              <w:top w:val="single" w:color="auto" w:sz="4" w:space="0"/>
              <w:left w:val="single" w:color="auto" w:sz="4" w:space="0"/>
              <w:bottom w:val="single" w:color="auto" w:sz="4" w:space="0"/>
              <w:right w:val="single" w:color="auto" w:sz="4" w:space="0"/>
            </w:tcBorders>
          </w:tcPr>
          <w:p>
            <w:pPr>
              <w:spacing w:after="0"/>
              <w:jc w:val="right"/>
              <w:rPr>
                <w:sz w:val="18"/>
                <w:szCs w:val="18"/>
              </w:rPr>
            </w:pPr>
            <w:r>
              <w:rPr>
                <w:rFonts w:ascii="Calibri" w:hAnsi="Calibri" w:cs="Arial Narrow"/>
                <w:sz w:val="18"/>
                <w:szCs w:val="18"/>
              </w:rPr>
              <w:t>185.990,00</w:t>
            </w:r>
          </w:p>
        </w:tc>
      </w:tr>
    </w:tbl>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sz w:val="18"/>
          <w:szCs w:val="18"/>
        </w:rPr>
      </w:pPr>
    </w:p>
    <w:p>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sz w:val="18"/>
          <w:szCs w:val="18"/>
        </w:rPr>
      </w:pPr>
      <w:r>
        <w:rPr>
          <w:rFonts w:ascii="Calibri" w:hAnsi="Calibri" w:cs="Arial Narrow"/>
          <w:sz w:val="18"/>
          <w:szCs w:val="18"/>
        </w:rPr>
        <w:t>Mafra, 1</w:t>
      </w:r>
      <w:r>
        <w:rPr>
          <w:rFonts w:hint="default" w:ascii="Calibri" w:hAnsi="Calibri" w:cs="Arial Narrow"/>
          <w:sz w:val="18"/>
          <w:szCs w:val="18"/>
          <w:lang w:val="pt-BR"/>
        </w:rPr>
        <w:t>8</w:t>
      </w:r>
      <w:bookmarkStart w:id="0" w:name="_GoBack"/>
      <w:bookmarkEnd w:id="0"/>
      <w:r>
        <w:rPr>
          <w:rFonts w:ascii="Calibri" w:hAnsi="Calibri" w:cs="Arial Narrow"/>
          <w:sz w:val="18"/>
          <w:szCs w:val="18"/>
        </w:rPr>
        <w:t>/06/2024</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sz w:val="18"/>
          <w:szCs w:val="18"/>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sz w:val="18"/>
          <w:szCs w:val="18"/>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Pr>
          <w:rFonts w:ascii="Calibri" w:hAnsi="Calibri" w:cs="Arial Narrow"/>
          <w:b/>
          <w:bCs/>
        </w:rPr>
        <w:t>_________________________________</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Fabiano Maurício Kalil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A1B5F"/>
    <w:rsid w:val="3EE01563"/>
    <w:rsid w:val="5E2B6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2"/>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3"/>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0"/>
    <w:unhideWhenUsed/>
    <w:qFormat/>
    <w:uiPriority w:val="99"/>
    <w:pPr>
      <w:tabs>
        <w:tab w:val="center" w:pos="4252"/>
        <w:tab w:val="right" w:pos="8504"/>
      </w:tabs>
      <w:spacing w:after="0" w:line="240" w:lineRule="auto"/>
    </w:pPr>
  </w:style>
  <w:style w:type="paragraph" w:styleId="7">
    <w:name w:val="footer"/>
    <w:basedOn w:val="1"/>
    <w:link w:val="11"/>
    <w:unhideWhenUsed/>
    <w:qFormat/>
    <w:uiPriority w:val="99"/>
    <w:pPr>
      <w:tabs>
        <w:tab w:val="center" w:pos="4252"/>
        <w:tab w:val="right" w:pos="8504"/>
      </w:tabs>
      <w:spacing w:after="0" w:line="240" w:lineRule="auto"/>
    </w:pPr>
  </w:style>
  <w:style w:type="paragraph" w:styleId="8">
    <w:name w:val="Balloon Text"/>
    <w:basedOn w:val="1"/>
    <w:link w:val="9"/>
    <w:semiHidden/>
    <w:unhideWhenUsed/>
    <w:qFormat/>
    <w:uiPriority w:val="99"/>
    <w:pPr>
      <w:spacing w:after="0" w:line="240" w:lineRule="auto"/>
    </w:pPr>
    <w:rPr>
      <w:rFonts w:ascii="Tahoma" w:hAnsi="Tahoma" w:cs="Tahoma"/>
      <w:sz w:val="16"/>
      <w:szCs w:val="16"/>
    </w:rPr>
  </w:style>
  <w:style w:type="character" w:customStyle="1" w:styleId="9">
    <w:name w:val="Texto de balão Char"/>
    <w:basedOn w:val="4"/>
    <w:link w:val="8"/>
    <w:semiHidden/>
    <w:qFormat/>
    <w:uiPriority w:val="99"/>
    <w:rPr>
      <w:rFonts w:ascii="Tahoma" w:hAnsi="Tahoma" w:cs="Tahoma"/>
      <w:sz w:val="16"/>
      <w:szCs w:val="16"/>
    </w:rPr>
  </w:style>
  <w:style w:type="character" w:customStyle="1" w:styleId="10">
    <w:name w:val="Cabeçalho Char"/>
    <w:basedOn w:val="4"/>
    <w:link w:val="6"/>
    <w:uiPriority w:val="99"/>
  </w:style>
  <w:style w:type="character" w:customStyle="1" w:styleId="11">
    <w:name w:val="Rodapé Char"/>
    <w:basedOn w:val="4"/>
    <w:link w:val="7"/>
    <w:qFormat/>
    <w:uiPriority w:val="99"/>
  </w:style>
  <w:style w:type="character" w:customStyle="1" w:styleId="12">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3">
    <w:name w:val="Título 3 Char"/>
    <w:basedOn w:val="4"/>
    <w:link w:val="3"/>
    <w:uiPriority w:val="0"/>
    <w:rPr>
      <w:rFonts w:ascii="Arial" w:hAnsi="Arial" w:eastAsia="Times New Roman" w:cs="Arial"/>
      <w:b/>
      <w:bCs/>
      <w:sz w:val="26"/>
      <w:szCs w:val="26"/>
      <w:lang w:eastAsia="pt-BR"/>
    </w:rPr>
  </w:style>
  <w:style w:type="paragraph" w:styleId="14">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1</Pages>
  <Words>164</Words>
  <Characters>891</Characters>
  <Lines>7</Lines>
  <Paragraphs>2</Paragraphs>
  <TotalTime>2</TotalTime>
  <ScaleCrop>false</ScaleCrop>
  <LinksUpToDate>false</LinksUpToDate>
  <CharactersWithSpaces>1053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fabiano</cp:lastModifiedBy>
  <dcterms:modified xsi:type="dcterms:W3CDTF">2024-06-18T13:16:04Z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2FD81EBF46034E6DB535CCBBAE4C82C5</vt:lpwstr>
  </property>
</Properties>
</file>